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CA" w:rsidRPr="00035F79" w:rsidRDefault="008539BC" w:rsidP="00B018CA">
      <w:pPr>
        <w:pStyle w:val="Heading1"/>
        <w:numPr>
          <w:ilvl w:val="0"/>
          <w:numId w:val="0"/>
        </w:numPr>
        <w:ind w:left="432" w:hanging="432"/>
      </w:pPr>
      <w:r w:rsidRPr="00035F79">
        <w:t xml:space="preserve">Criteria for the Provision </w:t>
      </w:r>
      <w:r>
        <w:t xml:space="preserve">of </w:t>
      </w:r>
      <w:r w:rsidRPr="00E6047D">
        <w:t>Electrically Propelled Indoor Wheelchairs (EPIC)</w:t>
      </w:r>
      <w:r>
        <w:rPr>
          <w:rStyle w:val="FootnoteReference"/>
        </w:rPr>
        <w:footnoteReference w:id="1"/>
      </w:r>
    </w:p>
    <w:p w:rsidR="00B018CA" w:rsidRPr="00E6047D" w:rsidRDefault="008539BC" w:rsidP="00B018CA"/>
    <w:p w:rsidR="00B018CA" w:rsidRPr="00E6047D" w:rsidRDefault="008539BC" w:rsidP="00B018CA">
      <w:pPr>
        <w:rPr>
          <w:rFonts w:eastAsia="Arial"/>
        </w:rPr>
      </w:pPr>
      <w:r w:rsidRPr="00E6047D">
        <w:rPr>
          <w:rFonts w:eastAsia="Arial"/>
        </w:rPr>
        <w:t>Patients must meet all the following criteria before they can be considered to be eligible for provision of an electrically powered indoor wheelchair:</w:t>
      </w:r>
    </w:p>
    <w:p w:rsidR="00B018CA" w:rsidRPr="00E6047D" w:rsidRDefault="008539BC" w:rsidP="00B018CA">
      <w:pPr>
        <w:pStyle w:val="Criteria"/>
      </w:pPr>
    </w:p>
    <w:p w:rsidR="00B018CA" w:rsidRPr="00E6047D" w:rsidRDefault="008539BC" w:rsidP="00B018CA">
      <w:pPr>
        <w:pStyle w:val="Criteria"/>
      </w:pPr>
      <w:r>
        <w:t>1.</w:t>
      </w:r>
      <w:r>
        <w:tab/>
        <w:t>F</w:t>
      </w:r>
      <w:r w:rsidRPr="00E6047D">
        <w:t xml:space="preserve">or medical reasons, be severely and permanently restricted in mobility.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2.</w:t>
      </w:r>
      <w:r>
        <w:tab/>
        <w:t>B</w:t>
      </w:r>
      <w:r w:rsidRPr="00E6047D">
        <w:t>e unable to walk</w:t>
      </w:r>
      <w:r>
        <w:rPr>
          <w:rStyle w:val="FootnoteReference"/>
        </w:rPr>
        <w:footnoteReference w:id="2"/>
      </w:r>
      <w:r w:rsidRPr="00E6047D">
        <w:t xml:space="preserve">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3.</w:t>
      </w:r>
      <w:r>
        <w:tab/>
        <w:t>B</w:t>
      </w:r>
      <w:r w:rsidRPr="00E6047D">
        <w:t>e unable to propel a manual wheelchair indoors</w:t>
      </w:r>
      <w:r>
        <w:rPr>
          <w:vertAlign w:val="superscript"/>
        </w:rPr>
        <w:t>2,</w:t>
      </w:r>
      <w:r>
        <w:rPr>
          <w:rStyle w:val="FootnoteReference"/>
        </w:rPr>
        <w:footnoteReference w:id="3"/>
      </w:r>
      <w:r w:rsidRPr="00E6047D">
        <w:t xml:space="preserve">. </w:t>
      </w:r>
    </w:p>
    <w:p w:rsidR="00B018CA" w:rsidRPr="00E6047D" w:rsidRDefault="008539BC" w:rsidP="00B018CA"/>
    <w:p w:rsidR="00B018CA" w:rsidRPr="00E6047D" w:rsidRDefault="008539BC" w:rsidP="00B018CA">
      <w:pPr>
        <w:pStyle w:val="Criteria"/>
      </w:pPr>
      <w:r>
        <w:t>4.</w:t>
      </w:r>
      <w:r>
        <w:tab/>
        <w:t>H</w:t>
      </w:r>
      <w:r w:rsidRPr="00E6047D">
        <w:t xml:space="preserve">ave no cognitive, spatial, visual or similar impairment (e.g. poorly controlled epilepsy) which </w:t>
      </w:r>
      <w:r w:rsidRPr="00E6047D">
        <w:t xml:space="preserve">would make their use of an EPIC a danger to themselves or other people.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5.</w:t>
      </w:r>
      <w:r>
        <w:tab/>
        <w:t>H</w:t>
      </w:r>
      <w:r w:rsidRPr="00E6047D">
        <w:t xml:space="preserve">ave demonstrated in a driving test that they have the physical and intellectual capacity to control an EPIC safely and responsibly.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6.</w:t>
      </w:r>
      <w:r>
        <w:tab/>
        <w:t>H</w:t>
      </w:r>
      <w:r w:rsidRPr="00E6047D">
        <w:t>ave a residential environment compatible</w:t>
      </w:r>
      <w:r w:rsidRPr="00E6047D">
        <w:t xml:space="preserve"> with the use of an EPIC, and which includes a storage area with a power supply for a battery charger.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7.</w:t>
      </w:r>
      <w:r>
        <w:tab/>
        <w:t>B</w:t>
      </w:r>
      <w:r w:rsidRPr="00E6047D">
        <w:t>e capable of ensuring that an EPIC is maintained adequately (charging on a daily basis, battery inspections</w:t>
      </w:r>
      <w:r>
        <w:t>,</w:t>
      </w:r>
      <w:r w:rsidRPr="00E6047D">
        <w:t xml:space="preserve"> etc.) either personally or by a carer.</w:t>
      </w:r>
      <w:r w:rsidRPr="00E6047D">
        <w:t xml:space="preserve">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8.</w:t>
      </w:r>
      <w:r>
        <w:tab/>
        <w:t>W</w:t>
      </w:r>
      <w:r w:rsidRPr="00E6047D">
        <w:t xml:space="preserve">ill derive significant improvement in their independence and quality of life through the use of an EPIC. </w:t>
      </w:r>
    </w:p>
    <w:p w:rsidR="00B018CA" w:rsidRPr="00E6047D" w:rsidRDefault="008539BC" w:rsidP="00B018CA">
      <w:pPr>
        <w:rPr>
          <w:rFonts w:eastAsia="Arial"/>
        </w:rPr>
      </w:pPr>
    </w:p>
    <w:p w:rsidR="00B018CA" w:rsidRPr="00E6047D" w:rsidRDefault="008539BC" w:rsidP="00B018CA">
      <w:pPr>
        <w:pStyle w:val="Criteria"/>
      </w:pPr>
      <w:r>
        <w:t>9.</w:t>
      </w:r>
      <w:r>
        <w:tab/>
        <w:t>A</w:t>
      </w:r>
      <w:r w:rsidRPr="00E6047D">
        <w:t xml:space="preserve">gree that the provision may </w:t>
      </w:r>
      <w:r>
        <w:t>be reviewed on a regular basis.</w:t>
      </w:r>
    </w:p>
    <w:p w:rsidR="00B018CA" w:rsidRDefault="008539BC" w:rsidP="00B018CA"/>
    <w:p w:rsidR="00B018CA" w:rsidRDefault="008539BC" w:rsidP="00B018CA"/>
    <w:p w:rsidR="00B018CA" w:rsidRPr="008640B7" w:rsidRDefault="008539BC" w:rsidP="00B018CA"/>
    <w:p w:rsidR="00DE3F6E" w:rsidRDefault="008539BC" w:rsidP="00C03414">
      <w:bookmarkStart w:id="0" w:name="_GoBack"/>
      <w:bookmarkEnd w:id="0"/>
    </w:p>
    <w:sectPr w:rsidR="00DE3F6E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BC" w:rsidRDefault="008539BC">
      <w:pPr>
        <w:spacing w:after="0"/>
      </w:pPr>
      <w:r>
        <w:separator/>
      </w:r>
    </w:p>
  </w:endnote>
  <w:endnote w:type="continuationSeparator" w:id="0">
    <w:p w:rsidR="008539BC" w:rsidRDefault="008539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1D0638" w:rsidTr="00460AF1">
      <w:tc>
        <w:tcPr>
          <w:tcW w:w="3544" w:type="dxa"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8539BC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</w:t>
          </w:r>
          <w:r>
            <w:rPr>
              <w:b/>
              <w:sz w:val="16"/>
              <w:szCs w:val="16"/>
            </w:rPr>
            <w:t xml:space="preserve"> viewed via Q-Pulse</w:t>
          </w:r>
        </w:p>
      </w:tc>
      <w:tc>
        <w:tcPr>
          <w:tcW w:w="1922" w:type="dxa"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CE3F08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CE3F08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1D0638" w:rsidTr="00460AF1">
      <w:tc>
        <w:tcPr>
          <w:tcW w:w="3544" w:type="dxa"/>
        </w:tcPr>
        <w:p w:rsidR="00C03414" w:rsidRPr="00A6490E" w:rsidRDefault="008539BC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8539B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8539BC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1D0638" w:rsidTr="007A648D">
      <w:tc>
        <w:tcPr>
          <w:tcW w:w="3544" w:type="dxa"/>
        </w:tcPr>
        <w:p w:rsidR="00C03414" w:rsidRPr="00A6490E" w:rsidRDefault="008539BC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</w:t>
          </w:r>
          <w:r w:rsidRPr="00A6490E">
            <w:rPr>
              <w:b/>
              <w:sz w:val="16"/>
              <w:szCs w:val="16"/>
            </w:rPr>
            <w:t xml:space="preserve"> viewed via Q-Pulse or</w:t>
          </w:r>
        </w:p>
        <w:p w:rsidR="00C03414" w:rsidRPr="00A6490E" w:rsidRDefault="008539B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1D0638" w:rsidTr="007A648D">
      <w:tc>
        <w:tcPr>
          <w:tcW w:w="3544" w:type="dxa"/>
        </w:tcPr>
        <w:p w:rsidR="00C03414" w:rsidRPr="00A6490E" w:rsidRDefault="008539BC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8539B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8539B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8539BC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BC" w:rsidRDefault="008539BC" w:rsidP="00A649D1">
      <w:pPr>
        <w:spacing w:after="0"/>
      </w:pPr>
      <w:r>
        <w:separator/>
      </w:r>
    </w:p>
  </w:footnote>
  <w:footnote w:type="continuationSeparator" w:id="0">
    <w:p w:rsidR="008539BC" w:rsidRDefault="008539BC" w:rsidP="00A649D1">
      <w:pPr>
        <w:spacing w:after="0"/>
      </w:pPr>
      <w:r>
        <w:continuationSeparator/>
      </w:r>
    </w:p>
  </w:footnote>
  <w:footnote w:id="1">
    <w:p w:rsidR="00B018CA" w:rsidRDefault="008539BC" w:rsidP="00B018CA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02/10/97).</w:t>
      </w:r>
    </w:p>
  </w:footnote>
  <w:footnote w:id="2">
    <w:p w:rsidR="00B018CA" w:rsidRDefault="008539BC" w:rsidP="00B018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047D">
        <w:rPr>
          <w:rFonts w:eastAsia="Arial"/>
        </w:rPr>
        <w:t xml:space="preserve">Inability to </w:t>
      </w:r>
      <w:r w:rsidRPr="00E6047D">
        <w:rPr>
          <w:rFonts w:eastAsia="Arial"/>
        </w:rPr>
        <w:t>walk or propel a manual wheelchair relates to inability to walk / propel within a room and to access essential domestic home environments, e.g. bedroom, kitchen, bathroom, front door, primary dining area</w:t>
      </w:r>
      <w:r>
        <w:rPr>
          <w:rFonts w:eastAsia="Arial"/>
        </w:rPr>
        <w:t>,</w:t>
      </w:r>
      <w:r w:rsidRPr="00E6047D">
        <w:rPr>
          <w:rFonts w:eastAsia="Arial"/>
        </w:rPr>
        <w:t xml:space="preserve"> etc.</w:t>
      </w:r>
    </w:p>
  </w:footnote>
  <w:footnote w:id="3">
    <w:p w:rsidR="00B018CA" w:rsidRPr="00E6047D" w:rsidRDefault="008539BC" w:rsidP="00B018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047D">
        <w:t>For a small number of patients it may be ina</w:t>
      </w:r>
      <w:r w:rsidRPr="00E6047D">
        <w:t>dvisable on medical grounds to manually propel a wheelchair</w:t>
      </w:r>
      <w:r>
        <w:t>,</w:t>
      </w:r>
      <w:r w:rsidRPr="00E6047D">
        <w:t xml:space="preserve"> e.g. because of increased susceptibility of upper limbs to injury.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1D0638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8539BC" w:rsidP="00B018CA">
          <w:pPr>
            <w:pStyle w:val="QHeader"/>
            <w:jc w:val="left"/>
          </w:pPr>
          <w:r>
            <w:t>SMART Wheelchair&amp;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8539BC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8539BC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D0638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8539BC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>WSS Eligibility Criteria - EPIC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8539BC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WSS-INF-9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8539BC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8539BC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1D0638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8539BC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8539BC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8539BC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1D0638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8539BC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fldChar w:fldCharType="begin"/>
          </w:r>
          <w:r>
            <w:instrText xml:space="preserve"> DOCVARIABLE QPulse_DocTitle \* MERGEFORMAT </w:instrText>
          </w:r>
          <w:r w:rsidRPr="001244B1">
            <w:fldChar w:fldCharType="separate"/>
          </w:r>
          <w:r w:rsidRPr="001244B1">
            <w:rPr>
              <w:b/>
              <w:sz w:val="22"/>
              <w:szCs w:val="20"/>
            </w:rPr>
            <w:t>WSS Eligibility Criteria - EPIC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8539BC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WSS-INF-9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8539BC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8539BC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631E0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07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2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2C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A9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E3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44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A0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0492CC5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C0A4F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F20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3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49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9A3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E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A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8E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03DE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86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A4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0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B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0E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C7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09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2C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CBC86302">
      <w:start w:val="1"/>
      <w:numFmt w:val="decimal"/>
      <w:lvlText w:val="%1."/>
      <w:lvlJc w:val="left"/>
      <w:pPr>
        <w:ind w:left="3600" w:hanging="360"/>
      </w:pPr>
    </w:lvl>
    <w:lvl w:ilvl="1" w:tplc="B1CC6AD4" w:tentative="1">
      <w:start w:val="1"/>
      <w:numFmt w:val="lowerLetter"/>
      <w:lvlText w:val="%2."/>
      <w:lvlJc w:val="left"/>
      <w:pPr>
        <w:ind w:left="4320" w:hanging="360"/>
      </w:pPr>
    </w:lvl>
    <w:lvl w:ilvl="2" w:tplc="B90EEA5A" w:tentative="1">
      <w:start w:val="1"/>
      <w:numFmt w:val="lowerRoman"/>
      <w:lvlText w:val="%3."/>
      <w:lvlJc w:val="right"/>
      <w:pPr>
        <w:ind w:left="5040" w:hanging="180"/>
      </w:pPr>
    </w:lvl>
    <w:lvl w:ilvl="3" w:tplc="1CA2CA6A" w:tentative="1">
      <w:start w:val="1"/>
      <w:numFmt w:val="decimal"/>
      <w:lvlText w:val="%4."/>
      <w:lvlJc w:val="left"/>
      <w:pPr>
        <w:ind w:left="5760" w:hanging="360"/>
      </w:pPr>
    </w:lvl>
    <w:lvl w:ilvl="4" w:tplc="DCF2D63A" w:tentative="1">
      <w:start w:val="1"/>
      <w:numFmt w:val="lowerLetter"/>
      <w:lvlText w:val="%5."/>
      <w:lvlJc w:val="left"/>
      <w:pPr>
        <w:ind w:left="6480" w:hanging="360"/>
      </w:pPr>
    </w:lvl>
    <w:lvl w:ilvl="5" w:tplc="FA5C42C2" w:tentative="1">
      <w:start w:val="1"/>
      <w:numFmt w:val="lowerRoman"/>
      <w:lvlText w:val="%6."/>
      <w:lvlJc w:val="right"/>
      <w:pPr>
        <w:ind w:left="7200" w:hanging="180"/>
      </w:pPr>
    </w:lvl>
    <w:lvl w:ilvl="6" w:tplc="6DC24682" w:tentative="1">
      <w:start w:val="1"/>
      <w:numFmt w:val="decimal"/>
      <w:lvlText w:val="%7."/>
      <w:lvlJc w:val="left"/>
      <w:pPr>
        <w:ind w:left="7920" w:hanging="360"/>
      </w:pPr>
    </w:lvl>
    <w:lvl w:ilvl="7" w:tplc="46EE9878" w:tentative="1">
      <w:start w:val="1"/>
      <w:numFmt w:val="lowerLetter"/>
      <w:lvlText w:val="%8."/>
      <w:lvlJc w:val="left"/>
      <w:pPr>
        <w:ind w:left="8640" w:hanging="360"/>
      </w:pPr>
    </w:lvl>
    <w:lvl w:ilvl="8" w:tplc="D38E933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074A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A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C0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64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9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8D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2A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E7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E7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72E6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02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22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E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4A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2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E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AF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00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8FDEB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A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2E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E5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E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0E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46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AC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E2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732CC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E3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60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C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0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63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8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2E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43C8ABBE">
      <w:start w:val="1"/>
      <w:numFmt w:val="decimal"/>
      <w:lvlText w:val="%1."/>
      <w:lvlJc w:val="left"/>
      <w:pPr>
        <w:ind w:left="3600" w:hanging="360"/>
      </w:pPr>
    </w:lvl>
    <w:lvl w:ilvl="1" w:tplc="038A348A" w:tentative="1">
      <w:start w:val="1"/>
      <w:numFmt w:val="lowerLetter"/>
      <w:lvlText w:val="%2."/>
      <w:lvlJc w:val="left"/>
      <w:pPr>
        <w:ind w:left="4320" w:hanging="360"/>
      </w:pPr>
    </w:lvl>
    <w:lvl w:ilvl="2" w:tplc="10A28164" w:tentative="1">
      <w:start w:val="1"/>
      <w:numFmt w:val="lowerRoman"/>
      <w:lvlText w:val="%3."/>
      <w:lvlJc w:val="right"/>
      <w:pPr>
        <w:ind w:left="5040" w:hanging="180"/>
      </w:pPr>
    </w:lvl>
    <w:lvl w:ilvl="3" w:tplc="470285FA" w:tentative="1">
      <w:start w:val="1"/>
      <w:numFmt w:val="decimal"/>
      <w:lvlText w:val="%4."/>
      <w:lvlJc w:val="left"/>
      <w:pPr>
        <w:ind w:left="5760" w:hanging="360"/>
      </w:pPr>
    </w:lvl>
    <w:lvl w:ilvl="4" w:tplc="7088ABB6" w:tentative="1">
      <w:start w:val="1"/>
      <w:numFmt w:val="lowerLetter"/>
      <w:lvlText w:val="%5."/>
      <w:lvlJc w:val="left"/>
      <w:pPr>
        <w:ind w:left="6480" w:hanging="360"/>
      </w:pPr>
    </w:lvl>
    <w:lvl w:ilvl="5" w:tplc="18724ADA" w:tentative="1">
      <w:start w:val="1"/>
      <w:numFmt w:val="lowerRoman"/>
      <w:lvlText w:val="%6."/>
      <w:lvlJc w:val="right"/>
      <w:pPr>
        <w:ind w:left="7200" w:hanging="180"/>
      </w:pPr>
    </w:lvl>
    <w:lvl w:ilvl="6" w:tplc="E24C1B72" w:tentative="1">
      <w:start w:val="1"/>
      <w:numFmt w:val="decimal"/>
      <w:lvlText w:val="%7."/>
      <w:lvlJc w:val="left"/>
      <w:pPr>
        <w:ind w:left="7920" w:hanging="360"/>
      </w:pPr>
    </w:lvl>
    <w:lvl w:ilvl="7" w:tplc="4CC0E20C" w:tentative="1">
      <w:start w:val="1"/>
      <w:numFmt w:val="lowerLetter"/>
      <w:lvlText w:val="%8."/>
      <w:lvlJc w:val="left"/>
      <w:pPr>
        <w:ind w:left="8640" w:hanging="360"/>
      </w:pPr>
    </w:lvl>
    <w:lvl w:ilvl="8" w:tplc="92E4E18A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5/05/2024 15:19:19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9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EPIC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72437885-c226-41ad-ba6b-da85252230a5"/>
  </w:docVars>
  <w:rsids>
    <w:rsidRoot w:val="001D0638"/>
    <w:rsid w:val="001D0638"/>
    <w:rsid w:val="008539BC"/>
    <w:rsid w:val="00C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56C0B3-E9CD-4AEB-884B-8B8C8D7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B018CA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18CA"/>
    <w:rPr>
      <w:rFonts w:ascii="Arial" w:hAnsi="Arial"/>
    </w:rPr>
  </w:style>
  <w:style w:type="character" w:styleId="FootnoteReference">
    <w:name w:val="footnote reference"/>
    <w:basedOn w:val="DefaultParagraphFont"/>
    <w:rsid w:val="00B018CA"/>
    <w:rPr>
      <w:vertAlign w:val="superscript"/>
    </w:rPr>
  </w:style>
  <w:style w:type="paragraph" w:customStyle="1" w:styleId="Criteria">
    <w:name w:val="Criteria"/>
    <w:basedOn w:val="Normal"/>
    <w:rsid w:val="00B018CA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CD7B-53D2-4D37-B64E-23AFC049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Dias-Scoon, Beth</cp:lastModifiedBy>
  <cp:revision>2</cp:revision>
  <cp:lastPrinted>2015-09-02T10:21:00Z</cp:lastPrinted>
  <dcterms:created xsi:type="dcterms:W3CDTF">2024-05-15T14:19:00Z</dcterms:created>
  <dcterms:modified xsi:type="dcterms:W3CDTF">2024-05-15T14:19:00Z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